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0069-01-2026-000564-12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Ворсина Дмитрия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Ворсин Д.Н.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шоссе, дом 37, 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Ворсин Д.Н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Ворсина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Ворсина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35491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448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25831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Ворсина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Ворсина Д.Н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Ворсина Дмитрия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